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Framework Manager"</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Review Meetings"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2"/>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30j0zll" w:id="1"/>
      <w:bookmarkEnd w:id="1"/>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Contract Period.</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bookmarkStart w:colFirst="0" w:colLast="0" w:name="_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2et92p0" w:id="4"/>
      <w:bookmarkEnd w:id="4"/>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bookmarkStart w:colFirst="0" w:colLast="0" w:name="_tyjcwt" w:id="5"/>
      <w:bookmarkEnd w:id="5"/>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bookmarkStart w:colFirst="0" w:colLast="0" w:name="_3dy6vkm" w:id="6"/>
      <w:bookmarkEnd w:id="6"/>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w:t>
      </w:r>
      <w:r w:rsidDel="00000000" w:rsidR="00000000" w:rsidRPr="00000000">
        <w:rPr>
          <w:rFonts w:ascii="Arial" w:cs="Arial" w:eastAsia="Arial" w:hAnsi="Arial"/>
          <w:sz w:val="24"/>
          <w:szCs w:val="24"/>
          <w:rtl w:val="0"/>
        </w:rPr>
        <w:t xml:space="preserve">,  supplier resource capacity  </w:t>
      </w:r>
      <w:r w:rsidDel="00000000" w:rsidR="00000000" w:rsidRPr="00000000">
        <w:rPr>
          <w:rFonts w:ascii="Arial" w:cs="Arial" w:eastAsia="Arial" w:hAnsi="Arial"/>
          <w:color w:val="000000"/>
          <w:sz w:val="24"/>
          <w:szCs w:val="24"/>
          <w:rtl w:val="0"/>
        </w:rPr>
        <w:t xml:space="preserve">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1">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bookmarkStart w:colFirst="0" w:colLast="0" w:name="_1t3h5sf" w:id="7"/>
      <w:bookmarkEnd w:id="7"/>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b w:val="1"/>
          <w:color w:val="000000"/>
          <w:sz w:val="24"/>
          <w:szCs w:val="24"/>
        </w:rPr>
      </w:pPr>
      <w:bookmarkStart w:colFirst="0" w:colLast="0" w:name="_4d34og8" w:id="8"/>
      <w:bookmarkEnd w:id="8"/>
      <w:r w:rsidDel="00000000" w:rsidR="00000000" w:rsidRPr="00000000">
        <w:rPr>
          <w:rFonts w:ascii="Arial" w:cs="Arial" w:eastAsia="Arial" w:hAnsi="Arial"/>
          <w:b w:val="1"/>
          <w:color w:val="000000"/>
          <w:sz w:val="24"/>
          <w:szCs w:val="24"/>
          <w:rtl w:val="0"/>
        </w:rPr>
        <w:t xml:space="preserve">Framework Performance Indicators (“PIs”)</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purpose of this Paragraph 4 is to set out the PIs by which the Supplier’s overall performance under the Framework Agreement shall be monitored and managed. CCS reserves the right to adjust, introduce new, or remove PIs throughout the Framework Period, however any significant changes to PIs shall be agreed between CCS and the Supplier in accordance with Clause 24 (Variation Procedure) of the Core Terms.</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851" w:hanging="491"/>
        <w:jc w:val="both"/>
        <w:rPr/>
      </w:pPr>
      <w:r w:rsidDel="00000000" w:rsidR="00000000" w:rsidRPr="00000000">
        <w:rPr>
          <w:rFonts w:ascii="Arial" w:cs="Arial" w:eastAsia="Arial" w:hAnsi="Arial"/>
          <w:color w:val="000000"/>
          <w:sz w:val="24"/>
          <w:szCs w:val="24"/>
          <w:rtl w:val="0"/>
        </w:rPr>
        <w:t xml:space="preserve">For the purpose of managing performance across the Framework Agreement CCS reserves the right to use and publish the performance of the Supplier against the PIs without restriction.</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use all reasonable endeavours to meet the Framework Agreement PIs and Contract Management PIs identified in this Paragraph 4 and establish processes to monitor its performance against them and the Supplier’s achievement of PIs shall be reviewed during the Supplier Review Meetings. </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851" w:hanging="491"/>
        <w:jc w:val="both"/>
        <w:rPr/>
      </w:pPr>
      <w:r w:rsidDel="00000000" w:rsidR="00000000" w:rsidRPr="00000000">
        <w:rPr>
          <w:rFonts w:ascii="Arial" w:cs="Arial" w:eastAsia="Arial" w:hAnsi="Arial"/>
          <w:color w:val="000000"/>
          <w:sz w:val="24"/>
          <w:szCs w:val="24"/>
          <w:rtl w:val="0"/>
        </w:rPr>
        <w:t xml:space="preserve">The Supplier shall also be subject to a Contract Management process as may be instigated by the Buyer under Section 3 of Framework Schedule 1 (Specification) and carried out in accordance with Call-Off Schedule 15 (Call-Off Contract Management).</w:t>
      </w:r>
    </w:p>
    <w:p w:rsidR="00000000" w:rsidDel="00000000" w:rsidP="00000000" w:rsidRDefault="00000000" w:rsidRPr="00000000" w14:paraId="0000002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bookmarkStart w:colFirst="0" w:colLast="0" w:name="_2s8eyo1" w:id="9"/>
      <w:bookmarkEnd w:id="9"/>
      <w:r w:rsidDel="00000000" w:rsidR="00000000" w:rsidRPr="00000000">
        <w:rPr>
          <w:rFonts w:ascii="Arial" w:cs="Arial" w:eastAsia="Arial" w:hAnsi="Arial"/>
          <w:color w:val="000000"/>
          <w:sz w:val="24"/>
          <w:szCs w:val="24"/>
          <w:rtl w:val="0"/>
        </w:rPr>
        <w:t xml:space="preserve">The Supplier’s performance of the Framework Agreement will be measured by the following PIS:</w:t>
      </w:r>
    </w:p>
    <w:tbl>
      <w:tblPr>
        <w:tblStyle w:val="Table2"/>
        <w:tblW w:w="7938.000000000001" w:type="dxa"/>
        <w:jc w:val="left"/>
        <w:tblInd w:w="4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63"/>
        <w:gridCol w:w="1519"/>
        <w:gridCol w:w="2356"/>
        <w:tblGridChange w:id="0">
          <w:tblGrid>
            <w:gridCol w:w="4063"/>
            <w:gridCol w:w="1519"/>
            <w:gridCol w:w="2356"/>
          </w:tblGrid>
        </w:tblGridChange>
      </w:tblGrid>
      <w:tr>
        <w:trPr>
          <w:cantSplit w:val="0"/>
          <w:trHeight w:val="776" w:hRule="atLeast"/>
          <w:tblHeader w:val="0"/>
        </w:trPr>
        <w:tc>
          <w:tcPr>
            <w:tcBorders>
              <w:top w:color="000000" w:space="0" w:sz="5" w:val="single"/>
              <w:left w:color="000000" w:space="0" w:sz="5" w:val="single"/>
              <w:bottom w:color="000000" w:space="0" w:sz="5" w:val="single"/>
              <w:right w:color="000000" w:space="0" w:sz="5" w:val="single"/>
            </w:tcBorders>
            <w:shd w:fill="d9d9d9" w:val="clear"/>
          </w:tcPr>
          <w:p w:rsidR="00000000" w:rsidDel="00000000" w:rsidP="00000000" w:rsidRDefault="00000000" w:rsidRPr="00000000" w14:paraId="00000028">
            <w:pPr>
              <w:widowControl w:val="0"/>
              <w:spacing w:after="120" w:before="120" w:line="257" w:lineRule="auto"/>
              <w:ind w:left="243"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Performance Indicator (PI)</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Pr>
          <w:p w:rsidR="00000000" w:rsidDel="00000000" w:rsidP="00000000" w:rsidRDefault="00000000" w:rsidRPr="00000000" w14:paraId="00000029">
            <w:pPr>
              <w:widowControl w:val="0"/>
              <w:spacing w:after="120" w:before="120" w:line="257" w:lineRule="auto"/>
              <w:ind w:left="243" w:right="1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PI Target (%)</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d9d9d9" w:val="clear"/>
          </w:tcPr>
          <w:p w:rsidR="00000000" w:rsidDel="00000000" w:rsidP="00000000" w:rsidRDefault="00000000" w:rsidRPr="00000000" w14:paraId="0000002A">
            <w:pPr>
              <w:widowControl w:val="0"/>
              <w:spacing w:after="120" w:before="120" w:line="257" w:lineRule="auto"/>
              <w:ind w:left="243"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Measured by</w:t>
            </w:r>
            <w:r w:rsidDel="00000000" w:rsidR="00000000" w:rsidRPr="00000000">
              <w:rPr>
                <w:rtl w:val="0"/>
              </w:rPr>
            </w:r>
          </w:p>
        </w:tc>
      </w:tr>
      <w:tr>
        <w:trPr>
          <w:cantSplit w:val="0"/>
          <w:trHeight w:val="744" w:hRule="atLeast"/>
          <w:tblHeader w:val="0"/>
        </w:trPr>
        <w:tc>
          <w:tcPr>
            <w:gridSpan w:val="3"/>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B">
            <w:pPr>
              <w:widowControl w:val="0"/>
              <w:numPr>
                <w:ilvl w:val="6"/>
                <w:numId w:val="1"/>
              </w:numPr>
              <w:pBdr>
                <w:top w:space="0" w:sz="0" w:val="nil"/>
                <w:left w:space="0" w:sz="0" w:val="nil"/>
                <w:bottom w:space="0" w:sz="0" w:val="nil"/>
                <w:right w:space="0" w:sz="0" w:val="nil"/>
                <w:between w:space="0" w:sz="0" w:val="nil"/>
              </w:pBdr>
              <w:spacing w:after="0" w:before="120" w:line="257" w:lineRule="auto"/>
              <w:ind w:left="453" w:hanging="360"/>
              <w:rPr>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after="120" w:line="257" w:lineRule="auto"/>
              <w:ind w:left="453" w:firstLine="0"/>
              <w:rPr>
                <w:rFonts w:ascii="Arial" w:cs="Arial" w:eastAsia="Arial" w:hAnsi="Arial"/>
                <w:color w:val="000000"/>
                <w:sz w:val="24"/>
                <w:szCs w:val="24"/>
              </w:rPr>
            </w:pPr>
            <w:r w:rsidDel="00000000" w:rsidR="00000000" w:rsidRPr="00000000">
              <w:rPr>
                <w:rtl w:val="0"/>
              </w:rPr>
            </w:r>
          </w:p>
        </w:tc>
      </w:tr>
      <w:tr>
        <w:trPr>
          <w:cantSplit w:val="0"/>
          <w:trHeight w:val="2141"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F">
            <w:pPr>
              <w:widowControl w:val="0"/>
              <w:numPr>
                <w:ilvl w:val="1"/>
                <w:numId w:val="3"/>
              </w:numPr>
              <w:pBdr>
                <w:top w:space="0" w:sz="0" w:val="nil"/>
                <w:left w:space="0" w:sz="0" w:val="nil"/>
                <w:bottom w:space="0" w:sz="0" w:val="nil"/>
                <w:right w:space="0" w:sz="0" w:val="nil"/>
                <w:between w:space="0" w:sz="0" w:val="nil"/>
              </w:pBdr>
              <w:tabs>
                <w:tab w:val="left" w:leader="none" w:pos="709"/>
              </w:tabs>
              <w:spacing w:after="120" w:before="120" w:line="257" w:lineRule="auto"/>
              <w:ind w:left="845" w:right="150" w:hanging="420"/>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to be returned to CCS by the 5</w:t>
            </w:r>
            <w:r w:rsidDel="00000000" w:rsidR="00000000" w:rsidRPr="00000000">
              <w:rPr>
                <w:rFonts w:ascii="Arial" w:cs="Arial" w:eastAsia="Arial" w:hAnsi="Arial"/>
                <w:sz w:val="24"/>
                <w:szCs w:val="24"/>
                <w:vertAlign w:val="superscript"/>
                <w:rtl w:val="0"/>
              </w:rPr>
              <w:t xml:space="preserve">th </w:t>
            </w:r>
            <w:r w:rsidDel="00000000" w:rsidR="00000000" w:rsidRPr="00000000">
              <w:rPr>
                <w:rFonts w:ascii="Arial" w:cs="Arial" w:eastAsia="Arial" w:hAnsi="Arial"/>
                <w:sz w:val="24"/>
                <w:szCs w:val="24"/>
                <w:rtl w:val="0"/>
              </w:rPr>
              <w:t xml:space="preserve">Working Day of each Month</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0">
            <w:pPr>
              <w:widowControl w:val="0"/>
              <w:spacing w:after="120" w:before="120" w:line="257" w:lineRule="auto"/>
              <w:ind w:left="1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1">
            <w:pPr>
              <w:widowControl w:val="0"/>
              <w:spacing w:after="120" w:before="120" w:line="257" w:lineRule="auto"/>
              <w:ind w:left="134" w:right="2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data warehouse system)</w:t>
            </w:r>
          </w:p>
        </w:tc>
      </w:tr>
      <w:tr>
        <w:trPr>
          <w:cantSplit w:val="0"/>
          <w:trHeight w:val="1889"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2">
            <w:pPr>
              <w:widowControl w:val="0"/>
              <w:numPr>
                <w:ilvl w:val="1"/>
                <w:numId w:val="3"/>
              </w:numPr>
              <w:tabs>
                <w:tab w:val="left" w:leader="none" w:pos="709"/>
              </w:tabs>
              <w:spacing w:after="120" w:before="120" w:line="257" w:lineRule="auto"/>
              <w:ind w:left="845" w:right="150" w:hanging="420"/>
              <w:rPr>
                <w:rFonts w:ascii="Arial" w:cs="Arial" w:eastAsia="Arial" w:hAnsi="Arial"/>
                <w:sz w:val="24"/>
                <w:szCs w:val="24"/>
              </w:rPr>
            </w:pPr>
            <w:r w:rsidDel="00000000" w:rsidR="00000000" w:rsidRPr="00000000">
              <w:rPr>
                <w:rFonts w:ascii="Arial" w:cs="Arial" w:eastAsia="Arial" w:hAnsi="Arial"/>
                <w:sz w:val="24"/>
                <w:szCs w:val="24"/>
                <w:rtl w:val="0"/>
              </w:rPr>
              <w:t xml:space="preserve">Upon receipt of a valid, undisputed invoice full payment to be paid within 30 days.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498" w:right="0" w:hanging="49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4">
            <w:pPr>
              <w:widowControl w:val="0"/>
              <w:spacing w:after="120" w:before="120" w:line="257" w:lineRule="auto"/>
              <w:ind w:left="1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5">
            <w:pPr>
              <w:widowControl w:val="0"/>
              <w:spacing w:after="120" w:before="120" w:line="257" w:lineRule="auto"/>
              <w:ind w:left="134" w:right="2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finance system)</w:t>
            </w:r>
          </w:p>
        </w:tc>
      </w:tr>
      <w:tr>
        <w:trPr>
          <w:cantSplit w:val="0"/>
          <w:trHeight w:val="1335"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6">
            <w:pPr>
              <w:widowControl w:val="0"/>
              <w:numPr>
                <w:ilvl w:val="1"/>
                <w:numId w:val="3"/>
              </w:numPr>
              <w:pBdr>
                <w:top w:space="0" w:sz="0" w:val="nil"/>
                <w:left w:space="0" w:sz="0" w:val="nil"/>
                <w:bottom w:space="0" w:sz="0" w:val="nil"/>
                <w:right w:space="0" w:sz="0" w:val="nil"/>
                <w:between w:space="0" w:sz="0" w:val="nil"/>
              </w:pBdr>
              <w:tabs>
                <w:tab w:val="left" w:leader="none" w:pos="709"/>
              </w:tabs>
              <w:spacing w:after="120" w:before="120" w:line="257" w:lineRule="auto"/>
              <w:ind w:left="845" w:right="150" w:hanging="420"/>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Agreement</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7">
            <w:pPr>
              <w:widowControl w:val="0"/>
              <w:spacing w:after="120" w:before="120" w:line="257" w:lineRule="auto"/>
              <w:ind w:left="1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8">
            <w:pPr>
              <w:widowControl w:val="0"/>
              <w:spacing w:after="120" w:before="120" w:line="257" w:lineRule="auto"/>
              <w:ind w:left="134" w:right="2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830" w:hRule="atLeast"/>
          <w:tblHeader w:val="0"/>
        </w:trPr>
        <w:tc>
          <w:tcPr>
            <w:tcBorders>
              <w:top w:color="000000" w:space="0" w:sz="5" w:val="single"/>
              <w:left w:color="000000" w:space="0" w:sz="5" w:val="single"/>
              <w:right w:color="000000" w:space="0" w:sz="5" w:val="single"/>
            </w:tcBorders>
          </w:tcPr>
          <w:p w:rsidR="00000000" w:rsidDel="00000000" w:rsidP="00000000" w:rsidRDefault="00000000" w:rsidRPr="00000000" w14:paraId="00000039">
            <w:pPr>
              <w:widowControl w:val="0"/>
              <w:numPr>
                <w:ilvl w:val="1"/>
                <w:numId w:val="3"/>
              </w:numPr>
              <w:pBdr>
                <w:top w:space="0" w:sz="0" w:val="nil"/>
                <w:left w:space="0" w:sz="0" w:val="nil"/>
                <w:bottom w:space="0" w:sz="0" w:val="nil"/>
                <w:right w:space="0" w:sz="0" w:val="nil"/>
                <w:between w:space="0" w:sz="0" w:val="nil"/>
              </w:pBdr>
              <w:tabs>
                <w:tab w:val="left" w:leader="none" w:pos="709"/>
              </w:tabs>
              <w:spacing w:after="120" w:before="120" w:line="257" w:lineRule="auto"/>
              <w:ind w:left="845" w:right="150" w:hanging="420"/>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 report</w:t>
            </w:r>
          </w:p>
        </w:tc>
        <w:tc>
          <w:tcPr>
            <w:tcBorders>
              <w:top w:color="000000" w:space="0" w:sz="5" w:val="single"/>
              <w:left w:color="000000" w:space="0" w:sz="5" w:val="single"/>
              <w:right w:color="000000" w:space="0" w:sz="5" w:val="single"/>
            </w:tcBorders>
          </w:tcPr>
          <w:p w:rsidR="00000000" w:rsidDel="00000000" w:rsidP="00000000" w:rsidRDefault="00000000" w:rsidRPr="00000000" w14:paraId="0000003A">
            <w:pPr>
              <w:widowControl w:val="0"/>
              <w:spacing w:after="120" w:before="120" w:line="257" w:lineRule="auto"/>
              <w:ind w:left="1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5" w:val="single"/>
              <w:left w:color="000000" w:space="0" w:sz="5" w:val="single"/>
              <w:right w:color="000000" w:space="0" w:sz="5" w:val="single"/>
            </w:tcBorders>
          </w:tcPr>
          <w:p w:rsidR="00000000" w:rsidDel="00000000" w:rsidP="00000000" w:rsidRDefault="00000000" w:rsidRPr="00000000" w14:paraId="0000003B">
            <w:pPr>
              <w:widowControl w:val="0"/>
              <w:spacing w:after="120" w:before="120" w:line="257" w:lineRule="auto"/>
              <w:ind w:left="134" w:right="2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completion of the actions by the dates identified in the Audit report</w:t>
            </w:r>
          </w:p>
        </w:tc>
      </w:tr>
      <w:tr>
        <w:trPr>
          <w:cantSplit w:val="0"/>
          <w:trHeight w:val="1830" w:hRule="atLeast"/>
          <w:tblHeader w:val="0"/>
        </w:trPr>
        <w:tc>
          <w:tcPr>
            <w:tcBorders>
              <w:top w:color="000000" w:space="0" w:sz="5" w:val="single"/>
              <w:left w:color="000000" w:space="0" w:sz="5" w:val="single"/>
              <w:right w:color="000000" w:space="0" w:sz="5" w:val="single"/>
            </w:tcBorders>
          </w:tcPr>
          <w:p w:rsidR="00000000" w:rsidDel="00000000" w:rsidP="00000000" w:rsidRDefault="00000000" w:rsidRPr="00000000" w14:paraId="0000003C">
            <w:pPr>
              <w:widowControl w:val="0"/>
              <w:spacing w:after="120" w:before="120" w:line="257" w:lineRule="auto"/>
              <w:ind w:left="498" w:right="150" w:hanging="420"/>
              <w:rPr>
                <w:rFonts w:ascii="Arial" w:cs="Arial" w:eastAsia="Arial" w:hAnsi="Arial"/>
                <w:sz w:val="24"/>
                <w:szCs w:val="24"/>
              </w:rPr>
            </w:pPr>
            <w:r w:rsidDel="00000000" w:rsidR="00000000" w:rsidRPr="00000000">
              <w:rPr>
                <w:rFonts w:ascii="Arial" w:cs="Arial" w:eastAsia="Arial" w:hAnsi="Arial"/>
                <w:sz w:val="24"/>
                <w:szCs w:val="24"/>
                <w:rtl w:val="0"/>
              </w:rPr>
              <w:t xml:space="preserve">1.5 Supplier summary on all social value elements from call-off in the preceding year to be issued to CCS on an annual basis.</w:t>
            </w:r>
          </w:p>
        </w:tc>
        <w:tc>
          <w:tcPr>
            <w:tcBorders>
              <w:top w:color="000000" w:space="0" w:sz="5" w:val="single"/>
              <w:left w:color="000000" w:space="0" w:sz="5" w:val="single"/>
              <w:right w:color="000000" w:space="0" w:sz="5" w:val="single"/>
            </w:tcBorders>
          </w:tcPr>
          <w:p w:rsidR="00000000" w:rsidDel="00000000" w:rsidP="00000000" w:rsidRDefault="00000000" w:rsidRPr="00000000" w14:paraId="0000003D">
            <w:pPr>
              <w:widowControl w:val="0"/>
              <w:spacing w:after="120" w:before="120" w:line="257" w:lineRule="auto"/>
              <w:ind w:left="1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5" w:val="single"/>
              <w:left w:color="000000" w:space="0" w:sz="5" w:val="single"/>
              <w:right w:color="000000" w:space="0" w:sz="5" w:val="single"/>
            </w:tcBorders>
          </w:tcPr>
          <w:p w:rsidR="00000000" w:rsidDel="00000000" w:rsidP="00000000" w:rsidRDefault="00000000" w:rsidRPr="00000000" w14:paraId="0000003E">
            <w:pPr>
              <w:widowControl w:val="0"/>
              <w:spacing w:after="120" w:before="120" w:line="257" w:lineRule="auto"/>
              <w:ind w:left="134" w:right="2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800" w:hRule="atLeast"/>
          <w:tblHeader w:val="0"/>
        </w:trPr>
        <w:tc>
          <w:tcPr>
            <w:gridSpan w:val="3"/>
            <w:tcBorders>
              <w:top w:color="000000" w:space="0" w:sz="5" w:val="single"/>
              <w:left w:color="000000" w:space="0" w:sz="5" w:val="single"/>
              <w:bottom w:color="000000" w:space="0" w:sz="5" w:val="single"/>
              <w:right w:color="000000" w:space="0" w:sz="5" w:val="single"/>
            </w:tcBorders>
            <w:vAlign w:val="center"/>
          </w:tcPr>
          <w:p w:rsidR="00000000" w:rsidDel="00000000" w:rsidP="00000000" w:rsidRDefault="00000000" w:rsidRPr="00000000" w14:paraId="0000003F">
            <w:pPr>
              <w:widowControl w:val="0"/>
              <w:spacing w:after="120" w:before="120" w:line="257" w:lineRule="auto"/>
              <w:ind w:left="594" w:right="150" w:hanging="51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OPERATIONAL EFFICIENCY / PRICE SAVINGS</w:t>
            </w:r>
          </w:p>
          <w:p w:rsidR="00000000" w:rsidDel="00000000" w:rsidP="00000000" w:rsidRDefault="00000000" w:rsidRPr="00000000" w14:paraId="00000040">
            <w:pPr>
              <w:widowControl w:val="0"/>
              <w:spacing w:after="120" w:before="120" w:line="257" w:lineRule="auto"/>
              <w:ind w:left="78" w:right="150" w:firstLine="0"/>
              <w:rPr>
                <w:rFonts w:ascii="Arial" w:cs="Arial" w:eastAsia="Arial" w:hAnsi="Arial"/>
                <w:sz w:val="24"/>
                <w:szCs w:val="24"/>
              </w:rPr>
            </w:pPr>
            <w:r w:rsidDel="00000000" w:rsidR="00000000" w:rsidRPr="00000000">
              <w:rPr>
                <w:rtl w:val="0"/>
              </w:rPr>
            </w:r>
          </w:p>
        </w:tc>
      </w:tr>
      <w:tr>
        <w:trPr>
          <w:cantSplit w:val="0"/>
          <w:trHeight w:val="1792"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tabs>
                <w:tab w:val="left" w:leader="none" w:pos="709"/>
              </w:tabs>
              <w:spacing w:after="120" w:before="120" w:line="257" w:lineRule="auto"/>
              <w:ind w:left="594" w:right="150" w:hanging="516"/>
              <w:rPr>
                <w:rFonts w:ascii="Arial" w:cs="Arial" w:eastAsia="Arial" w:hAnsi="Arial"/>
                <w:sz w:val="24"/>
                <w:szCs w:val="24"/>
              </w:rPr>
            </w:pPr>
            <w:r w:rsidDel="00000000" w:rsidR="00000000" w:rsidRPr="00000000">
              <w:rPr>
                <w:rFonts w:ascii="Arial" w:cs="Arial" w:eastAsia="Arial" w:hAnsi="Arial"/>
                <w:sz w:val="24"/>
                <w:szCs w:val="24"/>
                <w:rtl w:val="0"/>
              </w:rPr>
              <w:t xml:space="preserve">2.1 The Supplier to create and deliver against the Supplier Action Plan to derive further cost savings over the Framework Period via continuous improvement and innovation</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44">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90</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45">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cost savings achieved by the dates identified in the Supplier Action Plan</w:t>
            </w:r>
          </w:p>
        </w:tc>
      </w:tr>
      <w:tr>
        <w:trPr>
          <w:cantSplit w:val="0"/>
          <w:trHeight w:val="678" w:hRule="atLeast"/>
          <w:tblHeader w:val="0"/>
        </w:trPr>
        <w:tc>
          <w:tcPr>
            <w:gridSpan w:val="3"/>
            <w:tcBorders>
              <w:top w:color="000000" w:space="0" w:sz="5" w:val="single"/>
              <w:left w:color="000000" w:space="0" w:sz="5" w:val="single"/>
              <w:bottom w:color="000000" w:space="0" w:sz="5" w:val="single"/>
              <w:right w:color="000000" w:space="0" w:sz="5" w:val="single"/>
            </w:tcBorders>
            <w:vAlign w:val="center"/>
          </w:tcPr>
          <w:p w:rsidR="00000000" w:rsidDel="00000000" w:rsidP="00000000" w:rsidRDefault="00000000" w:rsidRPr="00000000" w14:paraId="00000046">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3 DEMAND MANAGEMENT SAVINGS</w:t>
            </w:r>
            <w:r w:rsidDel="00000000" w:rsidR="00000000" w:rsidRPr="00000000">
              <w:rPr>
                <w:rtl w:val="0"/>
              </w:rPr>
            </w:r>
          </w:p>
        </w:tc>
      </w:tr>
      <w:tr>
        <w:trPr>
          <w:cantSplit w:val="0"/>
          <w:trHeight w:val="1871"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tabs>
                <w:tab w:val="left" w:leader="none" w:pos="709"/>
              </w:tabs>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3.1 The Supplier to deliver against the Supplier Action Plan to derive further cost savings over the Framework Period</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4A">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90</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4B">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cost savings achieved by the dates identified in the Supplier Action Plan</w:t>
            </w:r>
          </w:p>
        </w:tc>
      </w:tr>
      <w:tr>
        <w:trPr>
          <w:cantSplit w:val="0"/>
          <w:trHeight w:val="564" w:hRule="atLeast"/>
          <w:tblHeader w:val="0"/>
        </w:trPr>
        <w:tc>
          <w:tcPr>
            <w:gridSpan w:val="3"/>
            <w:tcBorders>
              <w:top w:color="000000" w:space="0" w:sz="5" w:val="single"/>
              <w:left w:color="000000" w:space="0" w:sz="5" w:val="single"/>
              <w:bottom w:color="000000" w:space="0" w:sz="5" w:val="single"/>
              <w:right w:color="000000" w:space="0" w:sz="5" w:val="single"/>
            </w:tcBorders>
            <w:vAlign w:val="center"/>
          </w:tcPr>
          <w:p w:rsidR="00000000" w:rsidDel="00000000" w:rsidP="00000000" w:rsidRDefault="00000000" w:rsidRPr="00000000" w14:paraId="0000004C">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4 CUSTOMER SATISFACTION</w:t>
            </w:r>
            <w:r w:rsidDel="00000000" w:rsidR="00000000" w:rsidRPr="00000000">
              <w:rPr>
                <w:rtl w:val="0"/>
              </w:rPr>
            </w:r>
          </w:p>
        </w:tc>
      </w:tr>
      <w:tr>
        <w:trPr>
          <w:cantSplit w:val="0"/>
          <w:trHeight w:val="1761"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tabs>
                <w:tab w:val="left" w:leader="none" w:pos="709"/>
              </w:tabs>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4.1 Services to be provided under Call-Off Contracts to the satisfaction of Buyers</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50">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90</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51">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Supplier’s performance against customer satisfaction surveys</w:t>
            </w:r>
          </w:p>
        </w:tc>
      </w:tr>
      <w:tr>
        <w:trPr>
          <w:cantSplit w:val="0"/>
          <w:trHeight w:val="614" w:hRule="atLeast"/>
          <w:tblHeader w:val="0"/>
        </w:trPr>
        <w:tc>
          <w:tcPr>
            <w:gridSpan w:val="3"/>
            <w:tcBorders>
              <w:top w:color="000000" w:space="0" w:sz="5" w:val="single"/>
              <w:left w:color="000000" w:space="0" w:sz="5" w:val="single"/>
              <w:bottom w:color="000000" w:space="0" w:sz="5" w:val="single"/>
              <w:right w:color="000000" w:space="0" w:sz="5" w:val="single"/>
            </w:tcBorders>
            <w:vAlign w:val="center"/>
          </w:tcPr>
          <w:p w:rsidR="00000000" w:rsidDel="00000000" w:rsidP="00000000" w:rsidRDefault="00000000" w:rsidRPr="00000000" w14:paraId="00000052">
            <w:pPr>
              <w:widowControl w:val="0"/>
              <w:numPr>
                <w:ilvl w:val="0"/>
                <w:numId w:val="4"/>
              </w:numPr>
              <w:pBdr>
                <w:top w:space="0" w:sz="0" w:val="nil"/>
                <w:left w:space="0" w:sz="0" w:val="nil"/>
                <w:bottom w:space="0" w:sz="0" w:val="nil"/>
                <w:right w:space="0" w:sz="0" w:val="nil"/>
                <w:between w:space="0" w:sz="0" w:val="nil"/>
              </w:pBdr>
              <w:tabs>
                <w:tab w:val="left" w:leader="none" w:pos="175"/>
              </w:tabs>
              <w:spacing w:after="120" w:before="120" w:line="257" w:lineRule="auto"/>
              <w:ind w:left="170" w:hanging="170"/>
              <w:rPr>
                <w:color w:val="000000"/>
              </w:rPr>
            </w:pPr>
            <w:r w:rsidDel="00000000" w:rsidR="00000000" w:rsidRPr="00000000">
              <w:rPr>
                <w:rFonts w:ascii="Arial" w:cs="Arial" w:eastAsia="Arial" w:hAnsi="Arial"/>
                <w:b w:val="1"/>
                <w:color w:val="000000"/>
                <w:sz w:val="24"/>
                <w:szCs w:val="24"/>
                <w:rtl w:val="0"/>
              </w:rPr>
              <w:t xml:space="preserve">SPEND UNDER MANAGEMENT</w:t>
            </w:r>
            <w:r w:rsidDel="00000000" w:rsidR="00000000" w:rsidRPr="00000000">
              <w:rPr>
                <w:rtl w:val="0"/>
              </w:rPr>
            </w:r>
          </w:p>
        </w:tc>
      </w:tr>
      <w:tr>
        <w:trPr>
          <w:cantSplit w:val="0"/>
          <w:trHeight w:val="2917"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tabs>
                <w:tab w:val="left" w:leader="none" w:pos="709"/>
              </w:tabs>
              <w:spacing w:after="120" w:before="120" w:line="257" w:lineRule="auto"/>
              <w:ind w:left="594" w:right="150" w:hanging="516"/>
              <w:rPr>
                <w:rFonts w:ascii="Arial" w:cs="Arial" w:eastAsia="Arial" w:hAnsi="Arial"/>
                <w:sz w:val="24"/>
                <w:szCs w:val="24"/>
              </w:rPr>
            </w:pPr>
            <w:r w:rsidDel="00000000" w:rsidR="00000000" w:rsidRPr="00000000">
              <w:rPr>
                <w:rFonts w:ascii="Arial" w:cs="Arial" w:eastAsia="Arial" w:hAnsi="Arial"/>
                <w:sz w:val="24"/>
                <w:szCs w:val="24"/>
                <w:rtl w:val="0"/>
              </w:rPr>
              <w:t xml:space="preserve">5.1 The Supplier to deliver at least one case study per year to drive further cost savings over the Framework Period, continuous improvement and innovation.</w:t>
            </w:r>
          </w:p>
          <w:p w:rsidR="00000000" w:rsidDel="00000000" w:rsidP="00000000" w:rsidRDefault="00000000" w:rsidRPr="00000000" w14:paraId="00000056">
            <w:pPr>
              <w:widowControl w:val="0"/>
              <w:numPr>
                <w:ilvl w:val="1"/>
                <w:numId w:val="5"/>
              </w:numPr>
              <w:pBdr>
                <w:top w:space="0" w:sz="0" w:val="nil"/>
                <w:left w:space="0" w:sz="0" w:val="nil"/>
                <w:bottom w:space="0" w:sz="0" w:val="nil"/>
                <w:right w:space="0" w:sz="0" w:val="nil"/>
                <w:between w:space="0" w:sz="0" w:val="nil"/>
              </w:pBdr>
              <w:tabs>
                <w:tab w:val="left" w:leader="none" w:pos="709"/>
              </w:tabs>
              <w:spacing w:after="120" w:before="120" w:line="257" w:lineRule="auto"/>
              <w:ind w:left="438" w:right="1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can show no business has been won, the Supplier will be exempt.</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57">
            <w:pPr>
              <w:widowControl w:val="0"/>
              <w:spacing w:after="120" w:before="120" w:line="257"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58">
            <w:pPr>
              <w:widowControl w:val="0"/>
              <w:spacing w:after="120" w:before="120" w:line="257" w:lineRule="auto"/>
              <w:ind w:left="78" w:right="2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cost savings achieved by the case studies presented monthly</w:t>
            </w:r>
          </w:p>
        </w:tc>
      </w:tr>
      <w:tr>
        <w:trPr>
          <w:cantSplit w:val="0"/>
          <w:trHeight w:val="650" w:hRule="atLeast"/>
          <w:tblHeader w:val="0"/>
        </w:trPr>
        <w:tc>
          <w:tcPr>
            <w:gridSpan w:val="3"/>
            <w:tcBorders>
              <w:top w:color="000000" w:space="0" w:sz="5" w:val="single"/>
              <w:left w:color="000000" w:space="0" w:sz="5" w:val="single"/>
              <w:bottom w:color="000000" w:space="0" w:sz="5" w:val="single"/>
              <w:right w:color="000000" w:space="0" w:sz="5" w:val="single"/>
            </w:tcBorders>
            <w:vAlign w:val="center"/>
          </w:tcPr>
          <w:p w:rsidR="00000000" w:rsidDel="00000000" w:rsidP="00000000" w:rsidRDefault="00000000" w:rsidRPr="00000000" w14:paraId="00000059">
            <w:pPr>
              <w:widowControl w:val="0"/>
              <w:numPr>
                <w:ilvl w:val="0"/>
                <w:numId w:val="5"/>
              </w:numPr>
              <w:pBdr>
                <w:top w:space="0" w:sz="0" w:val="nil"/>
                <w:left w:space="0" w:sz="0" w:val="nil"/>
                <w:bottom w:space="0" w:sz="0" w:val="nil"/>
                <w:right w:space="0" w:sz="0" w:val="nil"/>
                <w:between w:space="0" w:sz="0" w:val="nil"/>
              </w:pBdr>
              <w:spacing w:after="120" w:before="120" w:line="257" w:lineRule="auto"/>
              <w:ind w:left="360" w:right="15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RESPONSIVENESS TO TENDERS</w:t>
            </w:r>
            <w:r w:rsidDel="00000000" w:rsidR="00000000" w:rsidRPr="00000000">
              <w:rPr>
                <w:rtl w:val="0"/>
              </w:rPr>
            </w:r>
          </w:p>
        </w:tc>
      </w:tr>
      <w:tr>
        <w:trPr>
          <w:cantSplit w:val="0"/>
          <w:trHeight w:val="4911"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tabs>
                <w:tab w:val="left" w:leader="none" w:pos="709"/>
              </w:tabs>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6.1 The Supplier not declining to bid against relevant Further Competition Procedures issued via the Framework to be reviewed annually.</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5D">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&gt;2</w:t>
            </w:r>
          </w:p>
          <w:p w:rsidR="00000000" w:rsidDel="00000000" w:rsidP="00000000" w:rsidRDefault="00000000" w:rsidRPr="00000000" w14:paraId="0000005E">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consecutive instances per Lot</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5F">
            <w:pPr>
              <w:widowControl w:val="0"/>
              <w:spacing w:after="120" w:before="120" w:line="257" w:lineRule="auto"/>
              <w:ind w:left="78" w:right="1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declination to bid is defined as a non-receipt of a response to the Further Competition Procedure and/or a communication to the Buyer confirming that no bid will be submitted without an accompanying credible explanation for the decision not to bid</w:t>
            </w:r>
          </w:p>
        </w:tc>
      </w:tr>
    </w:tbl>
    <w:p w:rsidR="00000000" w:rsidDel="00000000" w:rsidP="00000000" w:rsidRDefault="00000000" w:rsidRPr="00000000" w14:paraId="00000060">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134"/>
        </w:tabs>
        <w:spacing w:after="120" w:before="120" w:line="240" w:lineRule="auto"/>
        <w:ind w:left="9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keepLines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63">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68">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B">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bookmarkStart w:colFirst="0" w:colLast="0" w:name="_3rdcrjn" w:id="11"/>
      <w:bookmarkEnd w:id="11"/>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D">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lnxbz9" w:id="13"/>
      <w:bookmarkEnd w:id="13"/>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6">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7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Call-Off Schedule 9 (Security); and</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Call-Off Schedule 16 (Benchmarking).</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985"/>
        </w:tabs>
        <w:spacing w:after="120" w:before="120" w:line="240" w:lineRule="auto"/>
        <w:ind w:left="216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7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8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85">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adopt a policy of continuous improvement in relation to the Deliverables; and</w:t>
      </w:r>
    </w:p>
    <w:p w:rsidR="00000000" w:rsidDel="00000000" w:rsidP="00000000" w:rsidRDefault="00000000" w:rsidRPr="00000000" w14:paraId="00000086">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pPr>
      <w:r w:rsidDel="00000000" w:rsidR="00000000" w:rsidRPr="00000000">
        <w:rPr>
          <w:rFonts w:ascii="Arial" w:cs="Arial" w:eastAsia="Arial" w:hAnsi="Arial"/>
          <w:color w:val="000000"/>
          <w:sz w:val="24"/>
          <w:szCs w:val="24"/>
          <w:rtl w:val="0"/>
        </w:rPr>
        <w:t xml:space="preserve">Call-Off Schedule 8 (Business Continuity and Disaster Recovery (‘BCDR’)) - the Supplier shall:</w:t>
      </w:r>
    </w:p>
    <w:p w:rsidR="00000000" w:rsidDel="00000000" w:rsidP="00000000" w:rsidRDefault="00000000" w:rsidRPr="00000000" w14:paraId="00000088">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89">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Call-Off Contracts.</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8B">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425"/>
        <w:rPr/>
      </w:pPr>
      <w:r w:rsidDel="00000000" w:rsidR="00000000" w:rsidRPr="00000000">
        <w:rPr>
          <w:rFonts w:ascii="Arial" w:cs="Arial" w:eastAsia="Arial" w:hAnsi="Arial"/>
          <w:color w:val="000000"/>
          <w:sz w:val="24"/>
          <w:szCs w:val="24"/>
          <w:rtl w:val="0"/>
        </w:rPr>
        <w:t xml:space="preserve">create and hold a template Security Management Plan that can be used by each Buyer and shall make it available to CCS so that it can be published to potential Buyers; and</w:t>
      </w:r>
    </w:p>
    <w:p w:rsidR="00000000" w:rsidDel="00000000" w:rsidP="00000000" w:rsidRDefault="00000000" w:rsidRPr="00000000" w14:paraId="0000008C">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pPr>
      <w:r w:rsidDel="00000000" w:rsidR="00000000" w:rsidRPr="00000000">
        <w:rPr>
          <w:rFonts w:ascii="Arial" w:cs="Arial" w:eastAsia="Arial" w:hAnsi="Arial"/>
          <w:color w:val="000000"/>
          <w:sz w:val="24"/>
          <w:szCs w:val="24"/>
          <w:rtl w:val="0"/>
        </w:rPr>
        <w:t xml:space="preserve">notify CCS in the event of breach of any Security Management Plan and the Supplier shall provide such support as CCS may reasonably require to coordinate the application of Security Management Plans across all Call-Off Contracts.</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8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985" w:firstLine="0"/>
        <w:rPr/>
      </w:pPr>
      <w:r w:rsidDel="00000000" w:rsidR="00000000" w:rsidRPr="00000000">
        <w:rPr>
          <w:rFonts w:ascii="Arial" w:cs="Arial" w:eastAsia="Arial" w:hAnsi="Arial"/>
          <w:color w:val="000000"/>
          <w:sz w:val="24"/>
          <w:szCs w:val="24"/>
          <w:rtl w:val="0"/>
        </w:rPr>
        <w:t xml:space="preserve">shall notify CCS in the event that any benchmarker is appointed in respect of any Call-Off Contract and the Supplier recognises that CCS may want to co-ordinate how benchmarking is conducted across multiple Call-Off Contracts;</w:t>
      </w:r>
    </w:p>
    <w:p w:rsidR="00000000" w:rsidDel="00000000" w:rsidP="00000000" w:rsidRDefault="00000000" w:rsidRPr="00000000" w14:paraId="0000008F">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90">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leader="none" w:pos="1425"/>
        </w:tabs>
        <w:rPr>
          <w:rFonts w:ascii="Arial" w:cs="Arial" w:eastAsia="Arial" w:hAnsi="Arial"/>
          <w:color w:val="000000"/>
          <w:sz w:val="24"/>
          <w:szCs w:val="24"/>
          <w:highlight w:val="red"/>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76668602.1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color w:val="bfbfbf"/>
        <w:rtl w:val="0"/>
      </w:rPr>
      <w:t xml:space="preserve">76668602.1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A">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p w:rsidR="00000000" w:rsidDel="00000000" w:rsidP="00000000" w:rsidRDefault="00000000" w:rsidRPr="00000000" w14:paraId="000000AB">
    <w:pPr>
      <w:spacing w:after="0" w:line="240" w:lineRule="auto"/>
      <w:jc w:val="both"/>
      <w:rPr/>
    </w:pPr>
    <w:r w:rsidDel="00000000" w:rsidR="00000000" w:rsidRPr="00000000">
      <w:rPr>
        <w:rtl w:val="0"/>
      </w:rPr>
      <w:t xml:space="preserve">76668602.1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438" w:hanging="360"/>
      </w:pPr>
      <w:rPr>
        <w:b w:val="1"/>
      </w:rPr>
    </w:lvl>
    <w:lvl w:ilvl="1">
      <w:start w:val="1"/>
      <w:numFmt w:val="decimal"/>
      <w:lvlText w:val="%1.%2"/>
      <w:lvlJc w:val="left"/>
      <w:pPr>
        <w:ind w:left="845" w:hanging="420"/>
      </w:pPr>
      <w:rPr/>
    </w:lvl>
    <w:lvl w:ilvl="2">
      <w:start w:val="1"/>
      <w:numFmt w:val="decimal"/>
      <w:lvlText w:val="%1.%2.%3"/>
      <w:lvlJc w:val="left"/>
      <w:pPr>
        <w:ind w:left="798" w:hanging="720"/>
      </w:pPr>
      <w:rPr/>
    </w:lvl>
    <w:lvl w:ilvl="3">
      <w:start w:val="1"/>
      <w:numFmt w:val="decimal"/>
      <w:lvlText w:val="%1.%2.%3.%4"/>
      <w:lvlJc w:val="left"/>
      <w:pPr>
        <w:ind w:left="798" w:hanging="720"/>
      </w:pPr>
      <w:rPr/>
    </w:lvl>
    <w:lvl w:ilvl="4">
      <w:start w:val="1"/>
      <w:numFmt w:val="decimal"/>
      <w:lvlText w:val="%1.%2.%3.%4.%5"/>
      <w:lvlJc w:val="left"/>
      <w:pPr>
        <w:ind w:left="1158" w:hanging="1080"/>
      </w:pPr>
      <w:rPr/>
    </w:lvl>
    <w:lvl w:ilvl="5">
      <w:start w:val="1"/>
      <w:numFmt w:val="decimal"/>
      <w:lvlText w:val="%1.%2.%3.%4.%5.%6"/>
      <w:lvlJc w:val="left"/>
      <w:pPr>
        <w:ind w:left="1158" w:hanging="1080"/>
      </w:pPr>
      <w:rPr/>
    </w:lvl>
    <w:lvl w:ilvl="6">
      <w:start w:val="1"/>
      <w:numFmt w:val="decimal"/>
      <w:lvlText w:val="%1.%2.%3.%4.%5.%6.%7"/>
      <w:lvlJc w:val="left"/>
      <w:pPr>
        <w:ind w:left="1518" w:hanging="1440"/>
      </w:pPr>
      <w:rPr/>
    </w:lvl>
    <w:lvl w:ilvl="7">
      <w:start w:val="1"/>
      <w:numFmt w:val="decimal"/>
      <w:lvlText w:val="%1.%2.%3.%4.%5.%6.%7.%8"/>
      <w:lvlJc w:val="left"/>
      <w:pPr>
        <w:ind w:left="1518" w:hanging="1440"/>
      </w:pPr>
      <w:rPr/>
    </w:lvl>
    <w:lvl w:ilvl="8">
      <w:start w:val="1"/>
      <w:numFmt w:val="decimal"/>
      <w:lvlText w:val="%1.%2.%3.%4.%5.%6.%7.%8.%9"/>
      <w:lvlJc w:val="left"/>
      <w:pPr>
        <w:ind w:left="1518" w:hanging="1440"/>
      </w:pPr>
      <w:rPr/>
    </w:lvl>
  </w:abstractNum>
  <w:abstractNum w:abstractNumId="4">
    <w:lvl w:ilvl="0">
      <w:start w:val="5"/>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5"/>
      <w:numFmt w:val="decimal"/>
      <w:lvlText w:val="%1"/>
      <w:lvlJc w:val="left"/>
      <w:pPr>
        <w:ind w:left="360" w:hanging="360"/>
      </w:pPr>
      <w:rPr/>
    </w:lvl>
    <w:lvl w:ilvl="1">
      <w:start w:val="2"/>
      <w:numFmt w:val="decimal"/>
      <w:lvlText w:val="%1.%2"/>
      <w:lvlJc w:val="left"/>
      <w:pPr>
        <w:ind w:left="438" w:hanging="360"/>
      </w:pPr>
      <w:rPr/>
    </w:lvl>
    <w:lvl w:ilvl="2">
      <w:start w:val="1"/>
      <w:numFmt w:val="decimal"/>
      <w:lvlText w:val="%1.%2.%3"/>
      <w:lvlJc w:val="left"/>
      <w:pPr>
        <w:ind w:left="876" w:hanging="720"/>
      </w:pPr>
      <w:rPr/>
    </w:lvl>
    <w:lvl w:ilvl="3">
      <w:start w:val="1"/>
      <w:numFmt w:val="decimal"/>
      <w:lvlText w:val="%1.%2.%3.%4"/>
      <w:lvlJc w:val="left"/>
      <w:pPr>
        <w:ind w:left="1314" w:hanging="1080"/>
      </w:pPr>
      <w:rPr/>
    </w:lvl>
    <w:lvl w:ilvl="4">
      <w:start w:val="1"/>
      <w:numFmt w:val="decimal"/>
      <w:lvlText w:val="%1.%2.%3.%4.%5"/>
      <w:lvlJc w:val="left"/>
      <w:pPr>
        <w:ind w:left="1392" w:hanging="1080"/>
      </w:pPr>
      <w:rPr/>
    </w:lvl>
    <w:lvl w:ilvl="5">
      <w:start w:val="1"/>
      <w:numFmt w:val="decimal"/>
      <w:lvlText w:val="%1.%2.%3.%4.%5.%6"/>
      <w:lvlJc w:val="left"/>
      <w:pPr>
        <w:ind w:left="1830" w:hanging="1440"/>
      </w:pPr>
      <w:rPr/>
    </w:lvl>
    <w:lvl w:ilvl="6">
      <w:start w:val="1"/>
      <w:numFmt w:val="decimal"/>
      <w:lvlText w:val="%1.%2.%3.%4.%5.%6.%7"/>
      <w:lvlJc w:val="left"/>
      <w:pPr>
        <w:ind w:left="1908" w:hanging="1440"/>
      </w:pPr>
      <w:rPr/>
    </w:lvl>
    <w:lvl w:ilvl="7">
      <w:start w:val="1"/>
      <w:numFmt w:val="decimal"/>
      <w:lvlText w:val="%1.%2.%3.%4.%5.%6.%7.%8"/>
      <w:lvlJc w:val="left"/>
      <w:pPr>
        <w:ind w:left="2346" w:hanging="1800"/>
      </w:pPr>
      <w:rPr/>
    </w:lvl>
    <w:lvl w:ilvl="8">
      <w:start w:val="1"/>
      <w:numFmt w:val="decimal"/>
      <w:lvlText w:val="%1.%2.%3.%4.%5.%6.%7.%8.%9"/>
      <w:lvlJc w:val="left"/>
      <w:pPr>
        <w:ind w:left="242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76668602.1</vt:lpwstr>
  </property>
  <property fmtid="{D5CDD505-2E9C-101B-9397-08002B2CF9AE}" pid="3" name="gCurrentVersion">
    <vt:lpwstr>17 November 2017 D1V7</vt:lpwstr>
  </property>
</Properties>
</file>